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800"/>
      </w:pPr>
    </w:p>
    <w:p>
      <w:pPr>
        <w:pBdr>
          <w:bottom w:val="single" w:color="003DA5" w:sz="12" w:space="8"/>
        </w:pBdr>
        <w:spacing w:after="120" w:before="0"/>
        <w:jc w:val="center"/>
      </w:pPr>
      <w:r>
        <w:rPr>
          <w:rFonts w:ascii="Arial" w:cs="Arial" w:eastAsia="Arial" w:hAnsi="Arial"/>
          <w:b/>
          <w:bCs/>
          <w:color w:val="003DA5"/>
          <w:sz w:val="52"/>
          <w:szCs w:val="52"/>
        </w:rPr>
        <w:t xml:space="preserve">INTERVALLE TECHNOLOGIES</w:t>
      </w:r>
    </w:p>
    <w:p>
      <w:pPr>
        <w:spacing w:after="480" w:before="0"/>
      </w:pPr>
    </w:p>
    <w:p>
      <w:pPr>
        <w:spacing w:after="160" w:before="0"/>
        <w:jc w:val="center"/>
      </w:pPr>
      <w:r>
        <w:rPr>
          <w:rFonts w:ascii="Arial" w:cs="Arial" w:eastAsia="Arial" w:hAnsi="Arial"/>
          <w:b/>
          <w:bCs/>
          <w:color w:val="1A1A2E"/>
          <w:sz w:val="56"/>
          <w:szCs w:val="56"/>
        </w:rPr>
        <w:t xml:space="preserve">PLAN DE REPRISE D'ACTIVITÉ</w:t>
      </w:r>
    </w:p>
    <w:p>
      <w:pPr>
        <w:spacing w:after="80" w:before="0"/>
        <w:jc w:val="center"/>
      </w:pPr>
      <w:r>
        <w:rPr>
          <w:rFonts w:ascii="Arial" w:cs="Arial" w:eastAsia="Arial" w:hAnsi="Arial"/>
          <w:b w:val="false"/>
          <w:bCs w:val="false"/>
          <w:color w:val="003DA5"/>
          <w:sz w:val="32"/>
          <w:szCs w:val="32"/>
        </w:rPr>
        <w:t xml:space="preserve">RÉFÉRENTIEL OPÉRATIONNEL</w:t>
      </w:r>
    </w:p>
    <w:p>
      <w:pPr>
        <w:spacing w:after="80" w:before="0"/>
        <w:jc w:val="center"/>
      </w:pPr>
      <w:r>
        <w:rPr>
          <w:rFonts w:ascii="Arial" w:cs="Arial" w:eastAsia="Arial" w:hAnsi="Arial"/>
          <w:i/>
          <w:iCs/>
          <w:color w:val="555555"/>
          <w:sz w:val="24"/>
          <w:szCs w:val="24"/>
        </w:rPr>
        <w:t xml:space="preserve">Conforme DORA &amp; ISO 22301 — Secteur Financier</w:t>
      </w:r>
    </w:p>
    <w:p>
      <w:pPr>
        <w:spacing w:after="480" w:before="0"/>
      </w:pP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00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0FA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003DA5"/>
                <w:sz w:val="20"/>
                <w:szCs w:val="20"/>
              </w:rPr>
              <w:t xml:space="preserve">Établissement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i/>
                <w:iCs/>
                <w:color w:val="555555"/>
                <w:sz w:val="20"/>
                <w:szCs w:val="20"/>
              </w:rPr>
              <w:t xml:space="preserve">[Nom de l'établissement]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0FA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003DA5"/>
                <w:sz w:val="20"/>
                <w:szCs w:val="20"/>
              </w:rPr>
              <w:t xml:space="preserve">Direction responsable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i/>
                <w:iCs/>
                <w:color w:val="555555"/>
                <w:sz w:val="20"/>
                <w:szCs w:val="20"/>
              </w:rPr>
              <w:t xml:space="preserve">[DSI / RSSI / Direction des Risques]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0FA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003DA5"/>
                <w:sz w:val="20"/>
                <w:szCs w:val="20"/>
              </w:rPr>
              <w:t xml:space="preserve">Version du document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i/>
                <w:iCs/>
                <w:color w:val="555555"/>
                <w:sz w:val="20"/>
                <w:szCs w:val="20"/>
              </w:rPr>
              <w:t xml:space="preserve">v1.0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0FA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003DA5"/>
                <w:sz w:val="20"/>
                <w:szCs w:val="20"/>
              </w:rPr>
              <w:t xml:space="preserve">Date de création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i/>
                <w:iCs/>
                <w:color w:val="555555"/>
                <w:sz w:val="20"/>
                <w:szCs w:val="20"/>
              </w:rPr>
              <w:t xml:space="preserve">[JJ/MM/AAAA]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0FA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003DA5"/>
                <w:sz w:val="20"/>
                <w:szCs w:val="20"/>
              </w:rPr>
              <w:t xml:space="preserve">Dernière révision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i/>
                <w:iCs/>
                <w:color w:val="555555"/>
                <w:sz w:val="20"/>
                <w:szCs w:val="20"/>
              </w:rPr>
              <w:t xml:space="preserve">[JJ/MM/AAAA]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0FA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003DA5"/>
                <w:sz w:val="20"/>
                <w:szCs w:val="20"/>
              </w:rPr>
              <w:t xml:space="preserve">Classification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i/>
                <w:iCs/>
                <w:color w:val="555555"/>
                <w:sz w:val="20"/>
                <w:szCs w:val="20"/>
              </w:rPr>
              <w:t xml:space="preserve">CONFIDENTIEL — Usage interne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0FA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003DA5"/>
                <w:sz w:val="20"/>
                <w:szCs w:val="20"/>
              </w:rPr>
              <w:t xml:space="preserve">Prochaine révision planifiée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i/>
                <w:iCs/>
                <w:color w:val="555555"/>
                <w:sz w:val="20"/>
                <w:szCs w:val="20"/>
              </w:rPr>
              <w:t xml:space="preserve">[JJ/MM/AAAA]</w:t>
            </w:r>
          </w:p>
        </w:tc>
      </w:tr>
    </w:tbl>
    <w:p>
      <w:pPr>
        <w:spacing w:after="480" w:before="0"/>
      </w:pPr>
    </w:p>
    <w:p>
      <w:pPr>
        <w:jc w:val="center"/>
      </w:pPr>
      <w:r>
        <w:rPr>
          <w:rFonts w:ascii="Arial" w:cs="Arial" w:eastAsia="Arial" w:hAnsi="Arial"/>
          <w:b/>
          <w:bCs/>
          <w:color w:val="003DA5"/>
          <w:sz w:val="22"/>
          <w:szCs w:val="22"/>
        </w:rPr>
        <w:t xml:space="preserve">intervalle-technologies.com</w:t>
      </w:r>
    </w:p>
    <w:p>
      <w:r>
        <w:br w:type="page"/>
      </w:r>
    </w:p>
    <w:p>
      <w:pPr>
        <w:pStyle w:val="Heading1"/>
        <w:pBdr>
          <w:bottom w:val="single" w:color="003DA5" w:sz="8" w:space="4"/>
        </w:pBdr>
        <w:spacing w:after="160" w:before="360"/>
      </w:pPr>
      <w:r>
        <w:rPr>
          <w:rFonts w:ascii="Arial" w:cs="Arial" w:eastAsia="Arial" w:hAnsi="Arial"/>
          <w:b/>
          <w:bCs/>
          <w:color w:val="1A1A2E"/>
          <w:sz w:val="28"/>
          <w:szCs w:val="28"/>
        </w:rPr>
        <w:t xml:space="preserve">1. OBJET ET PÉRIMÈTRE DU DOCUMENT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003DA5"/>
          <w:sz w:val="24"/>
          <w:szCs w:val="24"/>
        </w:rPr>
        <w:t xml:space="preserve">1.1 Objectif</w:t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555555"/>
          <w:sz w:val="22"/>
          <w:szCs w:val="22"/>
        </w:rPr>
        <w:t xml:space="preserve">Le présent Plan de Reprise d'Activité (PRA) définit les procédures, responsabilités et ressources nécessaires pour assurer la continuité et la reprise des activités critiques du Système d'Information (SI) de l'établissement à la suite d'un incident majeur.</w:t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555555"/>
          <w:sz w:val="22"/>
          <w:szCs w:val="22"/>
        </w:rPr>
        <w:t xml:space="preserve">Ce référentiel est établi en conformité avec 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Le Règlement européen DORA (Digital Operational Resilience Act) — Règlement (UE) 2022/2554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La norme ISO 22301:2019 — Système de management de la continuité d'activité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La norme ISO/IEC 27001:2022 — Sécurité de l'information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Les exigences de l'Autorité de Contrôle Prudentiel et de Résolution (ACPR)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003DA5"/>
          <w:sz w:val="24"/>
          <w:szCs w:val="24"/>
        </w:rPr>
        <w:t xml:space="preserve">1.2 Périmètre d'application</w:t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555555"/>
          <w:sz w:val="22"/>
          <w:szCs w:val="22"/>
        </w:rPr>
        <w:t xml:space="preserve">Ce PRA couvre l'ensemble des systèmes, applications et infrastructures qualifiés de critiques selon l'analyse d'impact sur l'activité (BIA) annexée. Il s'applique à toutes les entités, directions et prestataires intervenant sur le périmètre SI concerné.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003DA5"/>
          <w:sz w:val="24"/>
          <w:szCs w:val="24"/>
        </w:rPr>
        <w:t xml:space="preserve">1.3 Articulation avec d'autres plans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3000"/>
        <w:gridCol w:w="3000"/>
      </w:tblGrid>
      <w:tr>
        <w:trPr>
          <w:tblHeader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Plan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Objet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Relation avec le PRA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PCA (Plan de Continuité d'Activité)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Maintien des activités en mode dégradé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Document parent — le PRA en est un composant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Plan de Gestion de Crise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Coordination décisionnelle en situation de crise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Déclenche et supervise le PRA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Plan de Communication de Crise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Communication interne et externe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Activé conjointement au PRA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PSSI (Politique de Sécurité du SI)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Cadre de sécurité global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Définit les exigences auxquelles le PRA répond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003DA5" w:sz="8" w:space="4"/>
        </w:pBdr>
        <w:spacing w:after="160" w:before="360"/>
      </w:pPr>
      <w:r>
        <w:rPr>
          <w:rFonts w:ascii="Arial" w:cs="Arial" w:eastAsia="Arial" w:hAnsi="Arial"/>
          <w:b/>
          <w:bCs/>
          <w:color w:val="1A1A2E"/>
          <w:sz w:val="28"/>
          <w:szCs w:val="28"/>
        </w:rPr>
        <w:t xml:space="preserve">2. OBJECTIFS DE REPRISE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003DA5"/>
          <w:sz w:val="24"/>
          <w:szCs w:val="24"/>
        </w:rPr>
        <w:t xml:space="preserve">2.1 Indicateurs clés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50"/>
        <w:gridCol w:w="2250"/>
        <w:gridCol w:w="2250"/>
        <w:gridCol w:w="2250"/>
      </w:tblGrid>
      <w:tr>
        <w:trPr>
          <w:tblHeader/>
        </w:trP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Indicateur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Définition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Valeur cible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Valeur actuelle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RTO (Recovery Time Objective)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Durée maximale d'interruption tolérable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[ex. : 4 heures]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[À renseigner]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RPO (Recovery Point Objective)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Perte de données maximale acceptable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[ex. : 1 heure]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[À renseigner]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MTPD (Maximum Tolerable Period of Disruption)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Durée maximale au-delà de laquelle la reprise devient impossible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[ex. : 72 heures]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[À renseigner]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RLO (Recovery Level Objective)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Niveau minimal de service à restaurer en priorité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[ex. : 80% de la capacité nominale]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[À renseigner]</w:t>
            </w:r>
          </w:p>
        </w:tc>
      </w:tr>
    </w:tbl>
    <w:p>
      <w:pPr>
        <w:spacing w:after="80" w:before="120"/>
      </w:pP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i/>
          <w:iCs/>
          <w:color w:val="555555"/>
          <w:sz w:val="22"/>
          <w:szCs w:val="22"/>
        </w:rPr>
        <w:t xml:space="preserve">Note : Ces valeurs doivent être validées par la Direction Générale et la Direction des Risques, et révisées annuellement ou après tout changement significatif du SI.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003DA5"/>
          <w:sz w:val="24"/>
          <w:szCs w:val="24"/>
        </w:rPr>
        <w:t xml:space="preserve">2.2 Niveaux de criticité des systèmes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50"/>
        <w:gridCol w:w="2250"/>
        <w:gridCol w:w="2250"/>
        <w:gridCol w:w="2250"/>
      </w:tblGrid>
      <w:tr>
        <w:trPr>
          <w:tblHeader/>
        </w:trP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Niveau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Criticité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Exemples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P1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Critique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Arrêt immédiatement préjudiciable — reprise en priorité absolue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Core banking, systèmes de paiement, trading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P2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Haute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Impact significatif au-delà de 4 heures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CRM, reporting réglementaire, messagerie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P3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Modérée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Impact tolérable jusqu'à 24 heures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Outils collaboratifs secondaires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P4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Faible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Impact tolérable jusqu'à 72 heures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Archives, outils non opérationnels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003DA5" w:sz="8" w:space="4"/>
        </w:pBdr>
        <w:spacing w:after="160" w:before="360"/>
      </w:pPr>
      <w:r>
        <w:rPr>
          <w:rFonts w:ascii="Arial" w:cs="Arial" w:eastAsia="Arial" w:hAnsi="Arial"/>
          <w:b/>
          <w:bCs/>
          <w:color w:val="1A1A2E"/>
          <w:sz w:val="28"/>
          <w:szCs w:val="28"/>
        </w:rPr>
        <w:t xml:space="preserve">3. ORGANISATION ET GOUVERNANCE DE CRISE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003DA5"/>
          <w:sz w:val="24"/>
          <w:szCs w:val="24"/>
        </w:rPr>
        <w:t xml:space="preserve">3.1 Cellule de Crise — Composition et responsabilités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50"/>
        <w:gridCol w:w="2250"/>
        <w:gridCol w:w="2250"/>
        <w:gridCol w:w="2250"/>
      </w:tblGrid>
      <w:tr>
        <w:trPr>
          <w:tblHeader/>
        </w:trP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Rôle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Titulaire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Suppléant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Responsabilités principales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Directeur de Crise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[Nom / Fonction]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[Nom / Fonction]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Décision de déclenchement, arbitrages, communication direction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Coordinateur PRA (RSSI)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[Nom / Fonction]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[Nom / Fonction]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Pilotage opérationnel, coordination des équipes techniques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Responsable Infrastructure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[Nom / Fonction]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[Nom / Fonction]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Restauration des systèmes, supervision technique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Responsable Applicatif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[Nom / Fonction]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[Nom / Fonction]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Reprise des applications métier, tests fonctionnels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Risk Manager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[Nom / Fonction]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[Nom / Fonction]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Évaluation des impacts, reporting réglementaire (ACPR/DORA)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Responsable Communication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[Nom / Fonction]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[Nom / Fonction]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Communication interne/externe, relations avec les autorités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Correspondant Juridique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[Nom / Fonction]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[Nom / Fonction]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Conformité réglementaire, gestion des obligations contractuelles</w:t>
            </w:r>
          </w:p>
        </w:tc>
      </w:tr>
    </w:tbl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003DA5"/>
          <w:sz w:val="24"/>
          <w:szCs w:val="24"/>
        </w:rPr>
        <w:t xml:space="preserve">3.2 Procédure de déclenchement</w:t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555555"/>
          <w:sz w:val="22"/>
          <w:szCs w:val="22"/>
        </w:rPr>
        <w:t xml:space="preserve">Le PRA peut être déclenché selon deux modalités 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Déclenchement automatique : dépassement d'un seuil d'alerte défini dans le système de supervision (ex. : indisponibilité confirmée &gt; 30 minutes sur un système P1)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Déclenchement manuel : décision du Directeur de Crise ou du RSSI sur la base d'une évaluation de situation</w:t>
      </w:r>
    </w:p>
    <w:p>
      <w:pPr>
        <w:spacing w:after="80" w:before="80"/>
      </w:pP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555555"/>
          <w:sz w:val="22"/>
          <w:szCs w:val="22"/>
        </w:rPr>
        <w:t xml:space="preserve">Séquence de déclenchement :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50"/>
        <w:gridCol w:w="2250"/>
        <w:gridCol w:w="2250"/>
        <w:gridCol w:w="2250"/>
      </w:tblGrid>
      <w:tr>
        <w:trPr>
          <w:tblHeader/>
        </w:trP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Étape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Action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Délai max.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Responsable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1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Détection et qualification de l'incident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T+0 à T+15 min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Équipe supervision / SOC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2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Notification du RSSI et du Responsable Infrastructure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T+15 min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Astreinte IT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3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Évaluation de la gravité et décision de déclenchement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T+30 min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RSSI / Directeur de Crise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4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Activation de la Cellule de Crise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T+45 min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Coordinateur PRA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5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Lancement des procédures de reprise (Runbooks)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T+60 min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Équipes techniques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6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Notification réglementaire si applicable (DORA Art. 19)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T+4h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Risk Manager / Juridique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003DA5" w:sz="8" w:space="4"/>
        </w:pBdr>
        <w:spacing w:after="160" w:before="360"/>
      </w:pPr>
      <w:r>
        <w:rPr>
          <w:rFonts w:ascii="Arial" w:cs="Arial" w:eastAsia="Arial" w:hAnsi="Arial"/>
          <w:b/>
          <w:bCs/>
          <w:color w:val="1A1A2E"/>
          <w:sz w:val="28"/>
          <w:szCs w:val="28"/>
        </w:rPr>
        <w:t xml:space="preserve">4. PROCÉDURES DE REPRISE TECHNIQUE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003DA5"/>
          <w:sz w:val="24"/>
          <w:szCs w:val="24"/>
        </w:rPr>
        <w:t xml:space="preserve">4.1 Architecture de reprise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1800"/>
        <w:gridCol w:w="1800"/>
        <w:gridCol w:w="1800"/>
        <w:gridCol w:w="1800"/>
      </w:tblGrid>
      <w:tr>
        <w:trPr>
          <w:tblHeader/>
        </w:trP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Composant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Site principal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Site de secours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Type de basculement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RPO effectif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Infrastructure réseau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[Datacenter A]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[Datacenter B / Cloud]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Actif/Passif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[À renseigner]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Serveurs applicatifs P1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[À renseigner]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[À renseigner]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[Chaud / Tiède]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[À renseigner]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Bases de données critiques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[À renseigner]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[À renseigner]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[Chaud / Tiède]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[À renseigner]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Système de sauvegarde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[À renseigner]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[À renseigner]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Réplication async.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[À renseigner]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Accès utilisateurs (VPN/VDI)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[À renseigner]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[À renseigner]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[À renseigner]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[À renseigner]</w:t>
            </w:r>
          </w:p>
        </w:tc>
      </w:tr>
    </w:tbl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003DA5"/>
          <w:sz w:val="24"/>
          <w:szCs w:val="24"/>
        </w:rPr>
        <w:t xml:space="preserve">4.2 Stratégie de sauvegarde — Règle 3-2-1-1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3 copies des données (1 production + 2 sauvegardes)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2 supports différents (disque local + stockage objet)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1 copie hors site (site de secours ou cloud souverain)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1 copie immuable (protection contre le chiffrement par ransomware)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003DA5"/>
          <w:sz w:val="24"/>
          <w:szCs w:val="24"/>
        </w:rPr>
        <w:t xml:space="preserve">4.3 Runbooks de reprise — Référencement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1500"/>
        <w:gridCol w:w="1500"/>
        <w:gridCol w:w="1500"/>
        <w:gridCol w:w="1500"/>
        <w:gridCol w:w="1500"/>
      </w:tblGrid>
      <w:tr>
        <w:trPr>
          <w:tblHeader/>
        </w:trP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Référence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Système concerné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Criticité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RTO cible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Responsable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Localisation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RB-001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[Système Core Banking]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P1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[X]h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[Nom]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[Lien / Chemin]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RB-002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[Système de Paiement]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P1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[X]h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[Nom]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[Lien / Chemin]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RB-003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[Active Directory]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P1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[X]h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[Nom]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[Lien / Chemin]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RB-004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[Messagerie]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P2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[X]h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[Nom]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[Lien / Chemin]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RB-005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[ERP / Reporting]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P2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[X]h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[Nom]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[Lien / Chemin]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003DA5" w:sz="8" w:space="4"/>
        </w:pBdr>
        <w:spacing w:after="160" w:before="360"/>
      </w:pPr>
      <w:r>
        <w:rPr>
          <w:rFonts w:ascii="Arial" w:cs="Arial" w:eastAsia="Arial" w:hAnsi="Arial"/>
          <w:b/>
          <w:bCs/>
          <w:color w:val="1A1A2E"/>
          <w:sz w:val="28"/>
          <w:szCs w:val="28"/>
        </w:rPr>
        <w:t xml:space="preserve">5. CONFORMITÉ RÉGLEMENTAIRE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003DA5"/>
          <w:sz w:val="24"/>
          <w:szCs w:val="24"/>
        </w:rPr>
        <w:t xml:space="preserve">5.1 Exigences DORA — Couverture par le présent PRA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50"/>
        <w:gridCol w:w="2250"/>
        <w:gridCol w:w="2250"/>
        <w:gridCol w:w="2250"/>
      </w:tblGrid>
      <w:tr>
        <w:trPr>
          <w:tblHeader/>
        </w:trP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Article DORA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Exigence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Couverture dans ce PRA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Statut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Art. 11 §1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Tests de résilience opérationnelle numérique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Section 7 — Programme de tests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À compléter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Art. 11 §6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Tests TLPT pour entités significatives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Annexe D — Scénarios de tests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À compléter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Art. 12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Politiques de sauvegarde et procédures de restauration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Section 4.2 — Stratégie de sauvegarde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Conforme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Art. 13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Apprentissage et évolution post-incident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Section 8 — Retour d'expérience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À compléter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Art. 17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Processus de gestion des incidents liés aux TIC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Section 3 — Organisation de crise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Conforme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Art. 19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Notification des incidents majeurs (ACPR/BCE)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Section 3.2 — Étape 6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Conforme</w:t>
            </w:r>
          </w:p>
        </w:tc>
      </w:tr>
    </w:tbl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003DA5"/>
          <w:sz w:val="24"/>
          <w:szCs w:val="24"/>
        </w:rPr>
        <w:t xml:space="preserve">5.2 Obligations de notification (DORA Art. 19)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50"/>
        <w:gridCol w:w="2250"/>
        <w:gridCol w:w="2250"/>
        <w:gridCol w:w="2250"/>
      </w:tblGrid>
      <w:tr>
        <w:trPr>
          <w:tblHeader/>
        </w:trP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Délai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Action requise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Destinataire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Responsable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T+4h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Notification initiale de l'incident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ACPR / Autorité compétente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Risk Manager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T+72h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Rapport intermédiaire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ACPR / Autorité compétente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Risk Manager + Juridique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T+1 mois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Rapport final détaillé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ACPR / Autorité compétente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RSSI + Risk Manager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003DA5" w:sz="8" w:space="4"/>
        </w:pBdr>
        <w:spacing w:after="160" w:before="360"/>
      </w:pPr>
      <w:r>
        <w:rPr>
          <w:rFonts w:ascii="Arial" w:cs="Arial" w:eastAsia="Arial" w:hAnsi="Arial"/>
          <w:b/>
          <w:bCs/>
          <w:color w:val="1A1A2E"/>
          <w:sz w:val="28"/>
          <w:szCs w:val="28"/>
        </w:rPr>
        <w:t xml:space="preserve">6. ANNUAIRE DES CONTACTS D'URGENCE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1800"/>
        <w:gridCol w:w="1800"/>
        <w:gridCol w:w="1800"/>
        <w:gridCol w:w="1800"/>
      </w:tblGrid>
      <w:tr>
        <w:trPr>
          <w:tblHeader/>
        </w:trP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Catégorie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Entité / Rôle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Contact principal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Contact secondaire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Disponibilité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Interne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Directeur de Crise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[Tél. / Email]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[Tél. / Email]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24/7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Interne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RSSI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[Tél. / Email]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[Tél. / Email]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24/7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Interne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Responsable Infrastructure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[Tél. / Email]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[Tél. / Email]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24/7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Prestataire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Hébergeur / Datacenter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[Tél. / Email]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[Tél. / Email]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24/7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Prestataire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Opérateur Télécom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[Tél. / Email]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[Tél. / Email]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Heures ouvrées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Prestataire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Intervalle Technologies (Conseil PRA)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contact@intervalle-technologies.com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intervalle-technologies.com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Sur contrat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Autorité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ACPR — Direction des Risques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[Tél. / Email]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[Tél. / Email]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Heures ouvrées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Autorité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ANSSI (en cas de cyberattaque)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[Tél. / Email]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cert.ssi.gouv.fr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24/7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003DA5" w:sz="8" w:space="4"/>
        </w:pBdr>
        <w:spacing w:after="160" w:before="360"/>
      </w:pPr>
      <w:r>
        <w:rPr>
          <w:rFonts w:ascii="Arial" w:cs="Arial" w:eastAsia="Arial" w:hAnsi="Arial"/>
          <w:b/>
          <w:bCs/>
          <w:color w:val="1A1A2E"/>
          <w:sz w:val="28"/>
          <w:szCs w:val="28"/>
        </w:rPr>
        <w:t xml:space="preserve">7. PROGRAMME DE TESTS ET VALIDATION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003DA5"/>
          <w:sz w:val="24"/>
          <w:szCs w:val="24"/>
        </w:rPr>
        <w:t xml:space="preserve">7.1 Types de tests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1800"/>
        <w:gridCol w:w="1800"/>
        <w:gridCol w:w="1800"/>
        <w:gridCol w:w="1800"/>
      </w:tblGrid>
      <w:tr>
        <w:trPr>
          <w:tblHeader/>
        </w:trP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Type de test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Fréquence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Périmètre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Responsable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Critère de succès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Test sur table (Tabletop)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Semestriel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Cellule de Crise complète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RSSI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Scénario joué sans blocage procédural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Test de restauration partielle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Trimestriel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Systèmes P1 &amp; P2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Resp. Infrastructure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Restauration &lt; RTO cible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Test de basculement complet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Annuel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Ensemble du dispositif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Directeur de Crise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Reprise complète &lt; RTO global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TLPT (Threat-Led Penetration Test)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Triennal (DORA)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Fonctions critiques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Équipe externe mandatée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Rapport validé par l'autorité</w:t>
            </w:r>
          </w:p>
        </w:tc>
      </w:tr>
    </w:tbl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003DA5"/>
          <w:sz w:val="24"/>
          <w:szCs w:val="24"/>
        </w:rPr>
        <w:t xml:space="preserve">7.2 Fiche de résultat de test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4500"/>
      </w:tblGrid>
      <w:tr>
        <w:trPr>
          <w:tblHeader/>
        </w:trP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Champ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À compléter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Date du test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[JJ/MM/AAAA]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Type de test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[Tabletop / Restauration / Basculement complet]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Périmètre testé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[Systèmes concernés]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Scénario simulé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[Description de l'incident simulé]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RTO mesuré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[Durée effective]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RPO mesuré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[Perte de données constatée]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Anomalies identifiées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[Description]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Plan d'actions correctrices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[Actions, responsables, délais]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Visa du RSSI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[Signature / Date]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003DA5" w:sz="8" w:space="4"/>
        </w:pBdr>
        <w:spacing w:after="160" w:before="360"/>
      </w:pPr>
      <w:r>
        <w:rPr>
          <w:rFonts w:ascii="Arial" w:cs="Arial" w:eastAsia="Arial" w:hAnsi="Arial"/>
          <w:b/>
          <w:bCs/>
          <w:color w:val="1A1A2E"/>
          <w:sz w:val="28"/>
          <w:szCs w:val="28"/>
        </w:rPr>
        <w:t xml:space="preserve">8. RETOUR D'EXPÉRIENCE ET AMÉLIORATION CONTINUE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003DA5"/>
          <w:sz w:val="24"/>
          <w:szCs w:val="24"/>
        </w:rPr>
        <w:t xml:space="preserve">8.1 Processus post-incident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Réunion de debriefing dans les 48h suivant la clôture de l'incident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Rédaction d'un rapport post-mortem (format standardisé — cf. Annexe E)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Mise à jour du registre des incidents et des leçons apprises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Révision des procédures et runbooks impactés sous 30 jours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Présentation en Comité des Risques dans le mois suivant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003DA5"/>
          <w:sz w:val="24"/>
          <w:szCs w:val="24"/>
        </w:rPr>
        <w:t xml:space="preserve">8.2 Calendrier de révision du PRA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50"/>
        <w:gridCol w:w="2250"/>
        <w:gridCol w:w="2250"/>
        <w:gridCol w:w="2250"/>
      </w:tblGrid>
      <w:tr>
        <w:trPr>
          <w:tblHeader/>
        </w:trP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Déclencheur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Type de révision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Délai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Approbateur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Révision annuelle planifiée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Complète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T+0 (calendrier fixe)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Direction Générale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Incident majeur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Ciblée (sections impactées)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30 jours post-incident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RSSI + Risk Manager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Changement significatif du SI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Ciblée (périmètre modifié)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Avant mise en production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RSSI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Évolution réglementaire (DORA, ACPR)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Mise en conformité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Selon délai réglementaire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Juridique + RSSI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003DA5" w:sz="8" w:space="4"/>
        </w:pBdr>
        <w:spacing w:after="160" w:before="360"/>
      </w:pPr>
      <w:r>
        <w:rPr>
          <w:rFonts w:ascii="Arial" w:cs="Arial" w:eastAsia="Arial" w:hAnsi="Arial"/>
          <w:b/>
          <w:bCs/>
          <w:color w:val="1A1A2E"/>
          <w:sz w:val="28"/>
          <w:szCs w:val="28"/>
        </w:rPr>
        <w:t xml:space="preserve">9. APPROBATION ET CONTRÔLE DOCUMENTAIRE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003DA5"/>
          <w:sz w:val="24"/>
          <w:szCs w:val="24"/>
        </w:rPr>
        <w:t xml:space="preserve">9.1 Historique des versions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1800"/>
        <w:gridCol w:w="1800"/>
        <w:gridCol w:w="1800"/>
        <w:gridCol w:w="1800"/>
      </w:tblGrid>
      <w:tr>
        <w:trPr>
          <w:tblHeader/>
        </w:trP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Version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Auteur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Modifications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Approbateur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v1.0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[JJ/MM/AAAA]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[Nom]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Création initiale du document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[Nom / Fonction]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v1.1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[JJ/MM/AAAA]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[Nom]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[Description]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[Nom / Fonction]</w:t>
            </w:r>
          </w:p>
        </w:tc>
      </w:tr>
    </w:tbl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003DA5"/>
          <w:sz w:val="24"/>
          <w:szCs w:val="24"/>
        </w:rPr>
        <w:t xml:space="preserve">9.2 Signatures d'approbation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50"/>
        <w:gridCol w:w="2250"/>
        <w:gridCol w:w="2250"/>
        <w:gridCol w:w="2250"/>
      </w:tblGrid>
      <w:tr>
        <w:trPr>
          <w:tblHeader/>
        </w:trP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Fonction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Nom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3DA5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Signature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RSSI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[Nom]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[JJ/MM/AAAA]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___________________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Directeur des Systèmes d'Information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[Nom]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[JJ/MM/AAAA]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___________________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Directeur des Risques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[Nom]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[JJ/MM/AAAA]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___________________</w:t>
            </w:r>
          </w:p>
        </w:tc>
      </w:tr>
      <w:tr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Direction Générale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[Nom]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[JJ/MM/AAAA]</w:t>
            </w:r>
          </w:p>
        </w:tc>
        <w:tc>
          <w:tcPr>
            <w:tcW w:type="dxa" w:w="22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6F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___________________</w:t>
            </w:r>
          </w:p>
        </w:tc>
      </w:tr>
    </w:tbl>
    <w:p>
      <w:pPr>
        <w:spacing w:after="480" w:before="0"/>
      </w:pPr>
    </w:p>
    <w:p>
      <w:pPr>
        <w:pBdr>
          <w:top w:val="single" w:color="003DA5" w:sz="8" w:space="4"/>
          <w:bottom w:val="single" w:color="003DA5" w:sz="8" w:space="4"/>
          <w:left w:val="single" w:color="003DA5" w:sz="8" w:space="4"/>
          <w:right w:val="single" w:color="003DA5" w:sz="8" w:space="4"/>
        </w:pBdr>
        <w:shd w:fill="E8F0FA" w:val="clear"/>
        <w:spacing w:after="160" w:before="160"/>
        <w:jc w:val="center"/>
      </w:pPr>
      <w:r>
        <w:rPr>
          <w:rFonts w:ascii="Arial" w:cs="Arial" w:eastAsia="Arial" w:hAnsi="Arial"/>
          <w:b/>
          <w:bCs/>
          <w:color w:val="1A1A2E"/>
          <w:sz w:val="24"/>
          <w:szCs w:val="24"/>
        </w:rPr>
        <w:br/>
        <w:t xml:space="preserve">Votre dispositif PRA est-il réellement auditable ?
</w:t>
      </w:r>
      <w:r>
        <w:rPr>
          <w:rFonts w:ascii="Arial" w:cs="Arial" w:eastAsia="Arial" w:hAnsi="Arial"/>
          <w:color w:val="555555"/>
          <w:sz w:val="20"/>
          <w:szCs w:val="20"/>
        </w:rPr>
        <w:br/>
        <w:t xml:space="preserve">Intervalle Technologies accompagne les équipes RSSI et Risk Management dans la structuration,
la formalisation et la validation de leurs dispositifs de continuité et de reprise d'activité.</w:t>
      </w:r>
      <w:r>
        <w:rPr>
          <w:rFonts w:ascii="Arial" w:cs="Arial" w:eastAsia="Arial" w:hAnsi="Arial"/>
          <w:color w:val="555555"/>
          <w:sz w:val="22"/>
          <w:szCs w:val="22"/>
        </w:rPr>
        <w:br/>
        <w:t xml:space="preserve">
Planifiez un diagnostic PCA/PRA avec nos experts : </w:t>
      </w:r>
      <w:r>
        <w:rPr>
          <w:rFonts w:ascii="Arial" w:cs="Arial" w:eastAsia="Arial" w:hAnsi="Arial"/>
          <w:b/>
          <w:bCs/>
          <w:color w:val="003DA5"/>
          <w:sz w:val="22"/>
          <w:szCs w:val="22"/>
        </w:rPr>
        <w:t xml:space="preserve">intervalle-technologies.com</w:t>
      </w:r>
    </w:p>
    <w:sectPr>
      <w:headerReference w:type="default" r:id="rId7"/>
      <w:footerReference w:type="default" r:id="rId8"/>
      <w:pgSz w:w="11906" w:h="16838" w:orient="portrait"/>
      <w:pgMar w:top="1440" w:right="1260" w:bottom="144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003DA5" w:sz="6" w:space="4"/>
      </w:pBdr>
      <w:tabs>
        <w:tab w:val="center" w:pos="4680"/>
        <w:tab w:val="right" w:pos="9360"/>
      </w:tabs>
      <w:spacing w:after="0" w:before="60"/>
    </w:pPr>
    <w:r>
      <w:rPr>
        <w:rFonts w:ascii="Arial" w:cs="Arial" w:eastAsia="Arial" w:hAnsi="Arial"/>
        <w:color w:val="555555"/>
        <w:sz w:val="16"/>
        <w:szCs w:val="16"/>
      </w:rPr>
      <w:t xml:space="preserve">© Intervalle Technologies — Confidentiel</w:t>
    </w:r>
    <w:r>
      <w:rPr>
        <w:sz w:val="16"/>
        <w:szCs w:val="16"/>
      </w:rPr>
      <w:t xml:space="preserve">	</w:t>
    </w:r>
    <w:r>
      <w:rPr>
        <w:rFonts w:ascii="Arial" w:cs="Arial" w:eastAsia="Arial" w:hAnsi="Arial"/>
        <w:b/>
        <w:bCs/>
        <w:color w:val="003DA5"/>
        <w:sz w:val="16"/>
        <w:szCs w:val="16"/>
      </w:rPr>
      <w:t xml:space="preserve">Besoin d'un accompagnement ? intervalle-technologies.com</w:t>
    </w:r>
    <w:r>
      <w:rPr>
        <w:rFonts w:ascii="Arial" w:cs="Arial" w:eastAsia="Arial" w:hAnsi="Arial"/>
        <w:color w:val="555555"/>
        <w:sz w:val="16"/>
        <w:szCs w:val="16"/>
      </w:rPr>
      <w:t xml:space="preserve">	Page </w:t>
    </w:r>
    <w: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003DA5" w:sz="6" w:space="4"/>
      </w:pBdr>
      <w:tabs>
        <w:tab w:val="right" w:pos="9360"/>
      </w:tabs>
      <w:spacing w:after="60" w:before="0"/>
    </w:pPr>
    <w:r>
      <w:rPr>
        <w:rFonts w:ascii="Arial" w:cs="Arial" w:eastAsia="Arial" w:hAnsi="Arial"/>
        <w:b/>
        <w:bCs/>
        <w:color w:val="003DA5"/>
        <w:sz w:val="16"/>
        <w:szCs w:val="16"/>
      </w:rPr>
      <w:t xml:space="preserve">PLAN DE REPRISE D'ACTIVITÉ — RÉFÉRENTIEL OPÉRATIONNEL</w:t>
    </w:r>
    <w:r>
      <w:rPr>
        <w:rFonts w:ascii="Arial" w:cs="Arial" w:eastAsia="Arial" w:hAnsi="Arial"/>
        <w:color w:val="555555"/>
        <w:sz w:val="16"/>
        <w:szCs w:val="16"/>
      </w:rPr>
      <w:t xml:space="preserve">	intervalle-technologies.com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60"/>
      <w:outlineLvl w:val="0"/>
    </w:pPr>
    <w:rPr>
      <w:rFonts w:ascii="Arial" w:cs="Arial" w:eastAsia="Arial" w:hAnsi="Arial"/>
      <w:b/>
      <w:bCs/>
      <w:color w:val="1A1A2E"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003DA5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2026-04-08T21:34:51.742Z</dcterms:created>
  <dcterms:modified xsi:type="dcterms:W3CDTF">2026-04-08T21:34:51.742Z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